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沈婧</w:t>
      </w:r>
      <w:bookmarkStart w:id="0" w:name="_GoBack"/>
      <w:bookmarkEnd w:id="0"/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Arial Unicode MS" w:cs="Arial Unicode MS"/>
                <w:b w:val="0"/>
                <w:bCs w:val="0"/>
                <w:kern w:val="2"/>
                <w:sz w:val="20"/>
                <w:szCs w:val="20"/>
                <w:lang w:val="en-US" w:eastAsia="en-US" w:bidi="ar-SA"/>
              </w:rPr>
              <w:drawing>
                <wp:inline distT="0" distB="0" distL="114300" distR="114300">
                  <wp:extent cx="1071880" cy="1502410"/>
                  <wp:effectExtent l="0" t="0" r="4445" b="2540"/>
                  <wp:docPr id="2" name="图片 2" descr="IMG_6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10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0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片</w:t>
            </w:r>
            <w:r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沈婧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 w14:paraId="346A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教师</w:t>
            </w:r>
          </w:p>
        </w:tc>
      </w:tr>
      <w:tr w14:paraId="0814DE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</w:tr>
      <w:tr w14:paraId="569255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  <w:t>乡村发展、文化景观、文化旅游</w:t>
            </w:r>
          </w:p>
        </w:tc>
      </w:tr>
      <w:tr w14:paraId="38CC41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1"/>
                <w:lang w:eastAsia="zh-CN"/>
              </w:rPr>
              <w:t>福建省福州市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闽侯县上街镇学府南路69号</w:t>
            </w:r>
          </w:p>
        </w:tc>
      </w:tr>
      <w:tr w14:paraId="0C863A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13635241609</w:t>
            </w:r>
          </w:p>
        </w:tc>
      </w:tr>
      <w:tr w14:paraId="6B98E1B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4400972@qq.com</w:t>
            </w:r>
          </w:p>
        </w:tc>
      </w:tr>
      <w:tr w14:paraId="24B596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https://design.fjut.edu.cn/_upload/article/files/09/82/0679e3ec48dd961b03e10734547a/c153ed4d-1a51-42a2-ae06-090083b3cf36.pdf</w:t>
            </w: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2017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2018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英国Coventry University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硕士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2018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台湾中原大学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博士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教师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DEDEA93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34E6A13C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社区资本视域下福建文化遗产地复原力的构建路径与机制研究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》福建省社科项目，排名第一。</w:t>
            </w:r>
          </w:p>
          <w:p w14:paraId="115D856C">
            <w:pPr>
              <w:widowControl/>
              <w:numPr>
                <w:numId w:val="0"/>
              </w:numPr>
              <w:wordWrap/>
              <w:overflowPunct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《福建船政学堂绘事院的设计实践对现代设计教育的借鉴研究》,福建省教育厅社科项目，排名第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>，（AT160819）</w:t>
            </w:r>
          </w:p>
          <w:p w14:paraId="7D3C0D01">
            <w:pPr>
              <w:widowControl/>
              <w:numPr>
                <w:numId w:val="0"/>
              </w:numPr>
              <w:wordWrap/>
              <w:overflowPunct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基于地方创生理论下的福建聚落文化景观活化方式研究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福建省社科项目，排名第一。</w:t>
            </w:r>
          </w:p>
          <w:p w14:paraId="2A4BEEF7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4.《虚拟现实在设计类课程中学习成效的应用与探究 》教育部产学合作协同育人项目，排名第一。</w:t>
            </w:r>
          </w:p>
          <w:p w14:paraId="7C14E9F2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发展社区资本实现福州遗产地周边社区复原力研究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福州市社科重点研究基地项目，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排 名第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一。</w:t>
            </w:r>
          </w:p>
          <w:p w14:paraId="44E4FF0C">
            <w:pPr>
              <w:widowControl/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sz w:val="24"/>
                <w:szCs w:val="24"/>
              </w:rPr>
              <w:t>&lt;聚落文化景观的旅游构建与福建地方创生研究&gt;,福建工程学院科研启动项目（GY-S22034）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3B1E2B37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Cultural landscape development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TW"/>
              </w:rPr>
              <w:t>integrated with rural revitalization:A case study of Songkou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ancient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TW"/>
              </w:rPr>
              <w:t>town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Land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SJR Q2,(SSCI/SCI)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(2021.4)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第一作者</w:t>
            </w:r>
          </w:p>
          <w:p w14:paraId="032C2B8F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Agricultural-heritage-oriented Rural Revitalization: Experiences from the Ancient Tea Town of Xiping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Land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SJR Q2,(SSCI/SCI)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(2021.9)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第一作者</w:t>
            </w:r>
          </w:p>
          <w:p w14:paraId="7923D301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体验式学习教学助益地方历史环境创生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》在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zh-TW" w:eastAsia="zh-TW"/>
              </w:rPr>
              <w:t>《装饰》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</w:rPr>
              <w:t>，清华大学主办201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zh-TW" w:eastAsia="zh-TW"/>
              </w:rPr>
              <w:t>权威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</w:rPr>
              <w:t>期刊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</w:rPr>
              <w:t>（CSSCI）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第一作者</w:t>
            </w:r>
          </w:p>
          <w:p w14:paraId="28CB0FAE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Regional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>r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evitalization of Xiamei: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>The 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evelopment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>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xperience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>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of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 xml:space="preserve"> integrating tea 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ourism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 xml:space="preserve"> with a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ncient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>v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illage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eastAsia="zh-TW"/>
              </w:rPr>
              <w:t>p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reservation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》在《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Journal of Rural Studies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SJR Q1,(SSCI)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（2022.2）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第一作者</w:t>
            </w:r>
          </w:p>
          <w:p w14:paraId="55C83B36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Experience of Community Resilience in Rural Areas around Heritage Sites in Quanzhou under Transition to a Knowledge Economy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Land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zh-TW" w:eastAsia="zh-TW"/>
              </w:rPr>
              <w:t>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SJR Q2,(SSCI/SCI) 第一作者</w:t>
            </w:r>
          </w:p>
          <w:p w14:paraId="1AF27904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6.《老龄化背景下“多世代共居”的室内空间设计研究》在《家具与室内装饰》，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/>
              </w:rPr>
              <w:t>北大核心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期刊，第一作者</w:t>
            </w:r>
          </w:p>
          <w:p w14:paraId="7101C99A">
            <w:pPr>
              <w:widowControl/>
              <w:numPr>
                <w:ilvl w:val="0"/>
                <w:numId w:val="0"/>
              </w:numPr>
              <w:wordWrap/>
              <w:overflowPunct w:val="0"/>
              <w:adjustRightInd/>
              <w:snapToGrid/>
              <w:spacing w:line="312" w:lineRule="auto"/>
              <w:ind w:left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7.《尽显”创意城乡“非遗魅力-文化原乡》在《中国网》，第一作者</w:t>
            </w:r>
          </w:p>
          <w:p w14:paraId="3EC3265E">
            <w:pPr>
              <w:widowControl/>
              <w:overflowPunct w:val="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英国牛津《BMW mini cooper 观光与体验工厂改造》项目；  英国《Bugatti Trust exhibition 整车生态系统的空间优化》项目；  台湾《鹿港“茉莉人文环境教育中心”老镇地方创生策划（路演，比赛、游戏，手作）》项目；台湾《芦竹“德馨堂”老屋文化创意与聚落活化设计》项目；台湾《宵里地方创生与社会设计》项目；</w:t>
            </w: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1269BA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jc w:val="both"/>
              <w:rPr>
                <w:rFonts w:eastAsia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第九届“中装杯”全国大学生环境设计大赛优秀指导教师</w:t>
            </w:r>
          </w:p>
          <w:p w14:paraId="7494E2FE">
            <w:pPr>
              <w:widowControl/>
              <w:adjustRightInd w:val="0"/>
              <w:snapToGrid w:val="0"/>
              <w:spacing w:before="36" w:beforeLines="10" w:after="36" w:afterLines="1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2.福建理工大学2024届本科优秀毕业设计优秀指导教师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担任 《家具与室内装饰》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北大核心</w:t>
            </w:r>
            <w:r>
              <w:rPr>
                <w:rFonts w:hint="eastAsia" w:ascii="仿宋_GB2312"/>
                <w:b w:val="0"/>
                <w:bCs w:val="0"/>
                <w:sz w:val="24"/>
                <w:lang w:val="en-US" w:eastAsia="zh-CN"/>
              </w:rPr>
              <w:t>期刊</w:t>
            </w:r>
            <w:r>
              <w:rPr>
                <w:rFonts w:hint="eastAsia" w:ascii="仿宋_GB2312"/>
                <w:sz w:val="24"/>
                <w:lang w:val="en-US" w:eastAsia="zh-CN"/>
              </w:rPr>
              <w:t>青年编审；《Landscape Architecture Frontiers》</w:t>
            </w:r>
            <w:r>
              <w:rPr>
                <w:rFonts w:hint="eastAsia" w:ascii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CSCD</w:t>
            </w:r>
            <w:r>
              <w:rPr>
                <w:rFonts w:hint="eastAsia" w:ascii="仿宋_GB2312"/>
                <w:sz w:val="24"/>
                <w:lang w:val="en-US" w:eastAsia="zh-CN"/>
              </w:rPr>
              <w:t>期刊执行编委；担任</w:t>
            </w:r>
            <w:r>
              <w:rPr>
                <w:rFonts w:hint="eastAsia" w:ascii="仿宋_GB2312"/>
                <w:sz w:val="24"/>
                <w:lang w:val="zh-TW" w:eastAsia="zh-TW"/>
              </w:rPr>
              <w:t>《</w:t>
            </w:r>
            <w:r>
              <w:rPr>
                <w:rFonts w:hint="eastAsia" w:ascii="仿宋_GB2312"/>
                <w:sz w:val="24"/>
                <w:lang w:val="en-US" w:eastAsia="zh-CN"/>
              </w:rPr>
              <w:t>Journal of Rural Studies</w:t>
            </w:r>
            <w:r>
              <w:rPr>
                <w:rFonts w:hint="eastAsia" w:ascii="仿宋_GB2312"/>
                <w:sz w:val="24"/>
                <w:lang w:val="zh-TW" w:eastAsia="zh-TW"/>
              </w:rPr>
              <w:t>》</w:t>
            </w:r>
            <w:r>
              <w:rPr>
                <w:rFonts w:hint="eastAsia" w:ascii="仿宋_GB2312"/>
                <w:sz w:val="24"/>
                <w:lang w:val="en-US" w:eastAsia="zh-CN"/>
              </w:rPr>
              <w:t>等二十余本国际期刊评审专家。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设计学研究生专业课程“学术论文写作”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刘丹阳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万里茶道文化线路节点遗产价值评析与发展研究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  <w:r>
              <w:rPr>
                <w:rFonts w:hint="eastAsia" w:eastAsia="仿宋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年6月</w:t>
            </w: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E9E5DDA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89E34"/>
    <w:multiLevelType w:val="singleLevel"/>
    <w:tmpl w:val="CEC89E34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48F4E23"/>
    <w:rsid w:val="29431C22"/>
    <w:rsid w:val="35BB7C3D"/>
    <w:rsid w:val="406A16BE"/>
    <w:rsid w:val="4E6D1482"/>
    <w:rsid w:val="4E8A3212"/>
    <w:rsid w:val="56E322E1"/>
    <w:rsid w:val="57A65C56"/>
    <w:rsid w:val="5A0E4F81"/>
    <w:rsid w:val="5B746414"/>
    <w:rsid w:val="65D86199"/>
    <w:rsid w:val="686048E0"/>
    <w:rsid w:val="6AD92BB9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172</Characters>
  <Lines>2</Lines>
  <Paragraphs>1</Paragraphs>
  <TotalTime>4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水玻璃</cp:lastModifiedBy>
  <dcterms:modified xsi:type="dcterms:W3CDTF">2025-08-27T09:27:19Z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B8622FC0F35045DF85B05493ECC4D758_13</vt:lpwstr>
  </property>
  <property fmtid="{D5CDD505-2E9C-101B-9397-08002B2CF9AE}" pid="4" name="KSOTemplateDocerSaveRecord">
    <vt:lpwstr>eyJoZGlkIjoiMGFhOTgyZTAwMjliYzlkZGJlMmZlMjE2MDYxN2MyYmMiLCJ1c2VySWQiOiIzNDE3OTA0MzAifQ==</vt:lpwstr>
  </property>
</Properties>
</file>